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8F9F" w14:textId="7539E100" w:rsidR="00071CF1" w:rsidRPr="003A1250" w:rsidRDefault="00DE4836" w:rsidP="00071CF1">
      <w:pPr>
        <w:spacing w:after="0" w:line="360" w:lineRule="auto"/>
        <w:ind w:firstLine="720"/>
        <w:jc w:val="center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 w:rsidRPr="003A1250">
        <w:rPr>
          <w:rFonts w:ascii="Times New Roman" w:eastAsia="inter" w:hAnsi="Times New Roman" w:cs="Times New Roman"/>
          <w:b/>
          <w:color w:val="000000"/>
          <w:sz w:val="24"/>
          <w:szCs w:val="24"/>
        </w:rPr>
        <w:t>Краткий о</w:t>
      </w:r>
      <w:r w:rsidR="00027DC7" w:rsidRPr="003A1250">
        <w:rPr>
          <w:rFonts w:ascii="Times New Roman" w:eastAsia="inter" w:hAnsi="Times New Roman" w:cs="Times New Roman"/>
          <w:b/>
          <w:color w:val="000000"/>
          <w:sz w:val="24"/>
          <w:szCs w:val="24"/>
        </w:rPr>
        <w:t>тчёт о заседании Второго Круглого стола</w:t>
      </w:r>
      <w:r w:rsidR="003A1250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027DC7" w:rsidRPr="003A1250">
        <w:rPr>
          <w:rFonts w:ascii="Times New Roman" w:eastAsia="inter" w:hAnsi="Times New Roman" w:cs="Times New Roman"/>
          <w:b/>
          <w:color w:val="000000"/>
          <w:sz w:val="24"/>
          <w:szCs w:val="24"/>
        </w:rPr>
        <w:t>«Международная пилотируемая экспедиция на Марс с участием России: концепция проекта»</w:t>
      </w:r>
      <w:bookmarkStart w:id="0" w:name="fnref1_1"/>
      <w:bookmarkEnd w:id="0"/>
    </w:p>
    <w:p w14:paraId="032C893A" w14:textId="4906A64D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18 декабря 2025 года в МГТУ им. Н.Э. Баумана состоялось заседание Второго Круглого стола «Международная пилотируемая экспедиция на Марс с участием России: концепция проекта», организованное Московским космическим клубом, Бауманским университетом и Инфраструктурным центром НТИ «Аэронет»</w:t>
      </w:r>
      <w:r w:rsidR="00535239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2.0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Мероприятие собрало около 70 экспертов из космической и атомной промышленности (АО «Центр Келдыша», АО «НИКИЭТ»), научных организаций РАН (ИКИ, ИИЕТ), вузов (МГТУ, МАИ, ВШЭ, МГИМО), ФМБА России, Минэкономразвития, </w:t>
      </w:r>
      <w:r w:rsidR="0046485E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общественных организаций (МКК, РАКЦ),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институтов развития и частного космического бизнеса; ещё около 150 человек следили за онлайн‑трансляцией.</w:t>
      </w:r>
      <w:bookmarkStart w:id="1" w:name="fnref1_2"/>
      <w:bookmarkEnd w:id="1"/>
      <w:r w:rsidR="00364230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937B5" w14:textId="307DD534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Целью встречи стало продолжение оценки российского задела в освоении Марса, начатой на </w:t>
      </w:r>
      <w:r w:rsidR="0079664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П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ервом Круглом столе 2 апреля 2025 года, и обсуждение концептуальных оснований международной пилотируемой миссии. Дискуссия подтвердила формирование консенсуса относительно необходимости Марсианского проекта как стратегической «сверхзадачи», способной стимулировать науку и технологии и укрепить статус России как ведущей космической державы.</w:t>
      </w:r>
      <w:bookmarkStart w:id="2" w:name="fnref1_3"/>
      <w:bookmarkEnd w:id="2"/>
      <w:r w:rsidR="00535239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AF918" w14:textId="136B62D9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Ведущий Круглого стола к.т.н. Сергей Жуков</w:t>
      </w:r>
      <w:r w:rsidR="00364230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(МКК) 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предложил структуру обсуждения из </w:t>
      </w:r>
      <w:r w:rsidR="0079664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шес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ти взаимосвязанных блоков: методологического, научно‑технического, финансово‑экономического, международного</w:t>
      </w:r>
      <w:r w:rsidR="0079664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образовательного</w:t>
      </w:r>
      <w:r w:rsidR="005A4764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и организационного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 Он также сообщил об издании электронного сборника материалов </w:t>
      </w:r>
      <w:r w:rsidR="005A4764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П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ервого Круглого стол</w:t>
      </w:r>
      <w:bookmarkStart w:id="3" w:name="fnref1_4"/>
      <w:bookmarkEnd w:id="3"/>
      <w:r w:rsidR="00535239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а.</w:t>
      </w:r>
      <w:r w:rsidR="00535239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2CC22" w14:textId="77777777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методологический_блок"/>
      <w:r w:rsidRPr="003A1250">
        <w:rPr>
          <w:rFonts w:ascii="Times New Roman" w:eastAsia="inter" w:hAnsi="Times New Roman" w:cs="Times New Roman"/>
          <w:b/>
          <w:color w:val="000000"/>
          <w:sz w:val="24"/>
          <w:szCs w:val="24"/>
        </w:rPr>
        <w:t>Методологический блок</w:t>
      </w:r>
      <w:bookmarkEnd w:id="4"/>
    </w:p>
    <w:p w14:paraId="18CE19F5" w14:textId="4D95496B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Д.филос.н</w:t>
      </w:r>
      <w:proofErr w:type="spellEnd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., к.т.н., профессор</w:t>
      </w:r>
      <w:r w:rsidR="00364230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Сергей Кричевский (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ИИЕТ им. С.И. Вавилова РАН</w:t>
      </w:r>
      <w:r w:rsidR="00364230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)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предложил рассматривать пилотируемую миссию к Марсу как комплексную стратегию ответа на ключевые вызовы XXI века, а не только как технологическую дорожную карту. В центре концепции — шесть методологических принципов: парадигма экспансии (расширение присутствия человечества в космосе), междисциплинарный и системный подходы, формулирование «сверхцели» как объединяющего фактора, новое международное сотрудничество и приоритет безопасности участников экспедиции. Такой подход превращает проект в долгосрочный цивилизационный замысел.</w:t>
      </w:r>
      <w:bookmarkStart w:id="5" w:name="fnref1_5"/>
      <w:bookmarkEnd w:id="5"/>
      <w:r w:rsidR="00364230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5CF2F" w14:textId="31385129" w:rsidR="0078002A" w:rsidRPr="003A1250" w:rsidRDefault="00364230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А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кадемик РАН Лев Зелёный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(ИКИ РАН)</w:t>
      </w:r>
      <w:r w:rsidR="00D34D44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изложил основные положения отчёта Национальной академии наук США «A Science Strategy </w:t>
      </w:r>
      <w:proofErr w:type="spellStart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for</w:t>
      </w:r>
      <w:proofErr w:type="spellEnd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the</w:t>
      </w:r>
      <w:proofErr w:type="spellEnd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Human </w:t>
      </w:r>
      <w:proofErr w:type="spellStart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Exploration</w:t>
      </w:r>
      <w:proofErr w:type="spellEnd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of</w:t>
      </w:r>
      <w:proofErr w:type="spellEnd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Mars», подготовленного по заказу NASA. Документ формулирует 11 приоритетных научных задач, сгруппированных по четырём направлениям (астробиология, </w:t>
      </w:r>
      <w:proofErr w:type="spellStart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геонауки</w:t>
      </w:r>
      <w:proofErr w:type="spellEnd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, атмосферные науки, человеческий фактор), и увязывает их с архитектурой «от Луны к Марсу».</w:t>
      </w:r>
      <w:bookmarkStart w:id="6" w:name="fnref1_6"/>
      <w:bookmarkEnd w:id="6"/>
      <w:r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70551" w14:textId="5377CFD0" w:rsidR="005A4764" w:rsidRPr="003A1250" w:rsidRDefault="005A4764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научно_технический_блок_наука_чел_37822b"/>
      <w:r w:rsidRPr="003A1250">
        <w:rPr>
          <w:rFonts w:ascii="Times New Roman" w:eastAsia="inter" w:hAnsi="Times New Roman" w:cs="Times New Roman"/>
          <w:b/>
          <w:color w:val="000000"/>
          <w:sz w:val="24"/>
          <w:szCs w:val="24"/>
        </w:rPr>
        <w:t>Научно‑технический блок: наука, человек и технологии</w:t>
      </w:r>
      <w:bookmarkEnd w:id="7"/>
    </w:p>
    <w:p w14:paraId="5179FA64" w14:textId="741D8526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Академик РАН Игорь Ушаков </w:t>
      </w:r>
      <w:r w:rsidR="00D34D44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(ФМБА России)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проанализировал медико‑биологические ограничения длительных полётов. Он выделил пять ключевых «космических барьеров» — радиационный, </w:t>
      </w:r>
      <w:proofErr w:type="spellStart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гипогравитационный</w:t>
      </w:r>
      <w:proofErr w:type="spellEnd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гипомагнитный</w:t>
      </w:r>
      <w:proofErr w:type="spellEnd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, токсико‑пылевой и психофизиологический — и представил план их поэтапного преодоления за счёт развития средств защиты, медицинского мониторинга и использования опыта МКС.</w:t>
      </w:r>
      <w:bookmarkStart w:id="8" w:name="fnref1_7"/>
      <w:bookmarkEnd w:id="8"/>
      <w:r w:rsidR="0046485E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7B0A2" w14:textId="2AEAEB2E" w:rsidR="0078002A" w:rsidRPr="003A1250" w:rsidRDefault="00D34D44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З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аслуженный конструктор РФ, к.т.н. Елена </w:t>
      </w:r>
      <w:proofErr w:type="spellStart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Ромадова</w:t>
      </w:r>
      <w:proofErr w:type="spellEnd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(АО НИКИЭТ) 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обосновала ключевую роль ядерных двигательных систем. Ядерный ракетный двигатель обеспечивает оптимальное сочетание эффективности и мощности, позволяя существенно сократить время полёта и снизить радиационные риски для экипажа. Представлена концепция Марсианского экспедиционного комплекса с бимодальными ЯРД, работающими в двигательном и энергетическом режимах.</w:t>
      </w:r>
      <w:bookmarkStart w:id="9" w:name="fnref1_8"/>
      <w:bookmarkEnd w:id="9"/>
      <w:r w:rsidR="0046485E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01CAE" w14:textId="0F7C0B25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Заслуженный конструктор РФ, к.т.н. Николай Севастьянов </w:t>
      </w:r>
      <w:r w:rsidR="0046485E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(ООО ИНТСИС)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представил концепцию Марсианского экспедиционного комплекса РКК «Энергия» (стартовая масса около 480 т, электрическая мощность до 15 МВт, экипаж 4 человека, длительность экспедиции до 800 суток). Ключевой вывод — энергетически и экономически целесообразна сборка тяжёлого межпланетного комплекса на окололунной орбите с опорой на ракету сверхтяжёлого класса и лунную инфраструктуру</w:t>
      </w:r>
      <w:bookmarkStart w:id="10" w:name="fnref1_9"/>
      <w:bookmarkEnd w:id="10"/>
      <w:r w:rsidR="0046485E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 w:rsidR="0046485E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91347" w14:textId="77777777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финансово_экономический_блок"/>
      <w:r w:rsidRPr="003A1250">
        <w:rPr>
          <w:rFonts w:ascii="Times New Roman" w:eastAsia="inter" w:hAnsi="Times New Roman" w:cs="Times New Roman"/>
          <w:b/>
          <w:color w:val="000000"/>
          <w:sz w:val="24"/>
          <w:szCs w:val="24"/>
        </w:rPr>
        <w:t>Финансово‑экономический блок</w:t>
      </w:r>
      <w:bookmarkEnd w:id="11"/>
    </w:p>
    <w:p w14:paraId="7355835A" w14:textId="73D57F5F" w:rsidR="0078002A" w:rsidRPr="003A1250" w:rsidRDefault="005A4764" w:rsidP="00071CF1">
      <w:pPr>
        <w:spacing w:after="0" w:line="360" w:lineRule="auto"/>
        <w:ind w:firstLine="72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К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.т.н. Андрей Ионин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(ГК </w:t>
      </w:r>
      <w:proofErr w:type="spellStart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Геоскан</w:t>
      </w:r>
      <w:proofErr w:type="spellEnd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) 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поставил вопрос о невозможности реализации Марсианского проекта в рамках классических бюджетных или коммерческих моделей. В качестве альтернативы предложена концепция «</w:t>
      </w:r>
      <w:proofErr w:type="spellStart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терраконверсии</w:t>
      </w:r>
      <w:proofErr w:type="spellEnd"/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» — превращения космических НИОКР в прорывные решения для земной экономики, обеспечивающие возврат инвестиций через новые рынки, повышение энергоэффективности и развитие территорий (включая Сибирь и Арктику).</w:t>
      </w:r>
      <w:bookmarkStart w:id="12" w:name="fnref1_10"/>
      <w:bookmarkEnd w:id="12"/>
      <w:r w:rsidR="0046485E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CF780" w14:textId="61016779" w:rsidR="0078002A" w:rsidRPr="003A1250" w:rsidRDefault="005A4764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Евгений Кузнецов (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ООО «Орбита Капитал Партнерз»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)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подчеркнул, что экспедицию на Марс целесообразно рассматривать как элемент устойчивой программы освоения с опорой на воспроизводимую инфраструктуру, при этом базовым условием для серийных перелётов является формирование развитой лунной экономики ресурсов и топлива.</w:t>
      </w:r>
      <w:bookmarkStart w:id="13" w:name="fnref1_11"/>
      <w:bookmarkEnd w:id="13"/>
      <w:r w:rsidR="0046485E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FC13E" w14:textId="77777777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международный_блок"/>
      <w:r w:rsidRPr="003A1250">
        <w:rPr>
          <w:rFonts w:ascii="Times New Roman" w:eastAsia="inter" w:hAnsi="Times New Roman" w:cs="Times New Roman"/>
          <w:b/>
          <w:color w:val="000000"/>
          <w:sz w:val="24"/>
          <w:szCs w:val="24"/>
        </w:rPr>
        <w:t>Международный блок</w:t>
      </w:r>
      <w:bookmarkEnd w:id="14"/>
    </w:p>
    <w:p w14:paraId="1F3535E7" w14:textId="28558D11" w:rsidR="0078002A" w:rsidRPr="003A1250" w:rsidRDefault="005A4764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Кристина Кондакова (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Центр комплексных европейских и международных исследовани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й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НИУ ВШЭ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)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пр</w:t>
      </w:r>
      <w:r w:rsidR="00382151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оанализировала 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возможности взаимодействия с КНР</w:t>
      </w:r>
      <w:r w:rsidR="00382151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в контексте Марсианской миссии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. Доклад выявил противоречие между миролюбивой риторикой китайской космической политики и курсом на милитаризацию и технологическое превосходство, что создаёт для России как возможности кооперации, так и ограничения глубины интеграции.</w:t>
      </w:r>
      <w:bookmarkStart w:id="15" w:name="fnref1_12"/>
      <w:bookmarkEnd w:id="15"/>
      <w:r w:rsidR="0046485E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9FABA" w14:textId="38D5E408" w:rsidR="00796647" w:rsidRPr="003A1250" w:rsidRDefault="00027DC7" w:rsidP="00071CF1">
      <w:pPr>
        <w:spacing w:after="0" w:line="360" w:lineRule="auto"/>
        <w:ind w:firstLine="72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proofErr w:type="spellStart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К.полит.н</w:t>
      </w:r>
      <w:proofErr w:type="spellEnd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., профессор МГИМО Иван </w:t>
      </w:r>
      <w:proofErr w:type="spellStart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Сафранчук</w:t>
      </w:r>
      <w:proofErr w:type="spellEnd"/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оценил перспективы взаимодействия с США </w:t>
      </w:r>
      <w:r w:rsidR="0079664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по марсианскому проекту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в контексте </w:t>
      </w:r>
      <w:r w:rsidR="00382151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внутренней и внешней политики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администрации Трампа. </w:t>
      </w:r>
    </w:p>
    <w:p w14:paraId="5761923E" w14:textId="6E1E8D90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Заместитель директора департамента Минэкономразвития России Евгения Дрожащих осветила механизмы </w:t>
      </w:r>
      <w:r w:rsidR="0079664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космического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сотрудничества в рамках БРИКС и ШОС.</w:t>
      </w:r>
      <w:bookmarkStart w:id="16" w:name="fnref1_13"/>
      <w:bookmarkEnd w:id="16"/>
      <w:r w:rsidR="00796647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43E9F" w14:textId="77777777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образовательный_блок"/>
      <w:r w:rsidRPr="003A1250">
        <w:rPr>
          <w:rFonts w:ascii="Times New Roman" w:eastAsia="inter" w:hAnsi="Times New Roman" w:cs="Times New Roman"/>
          <w:b/>
          <w:color w:val="000000"/>
          <w:sz w:val="24"/>
          <w:szCs w:val="24"/>
        </w:rPr>
        <w:t>Образовательный блок</w:t>
      </w:r>
      <w:bookmarkEnd w:id="17"/>
    </w:p>
    <w:p w14:paraId="50533B65" w14:textId="37F28EF7" w:rsidR="0078002A" w:rsidRPr="003A1250" w:rsidRDefault="00D40469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Дмитрий Шишкин (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МГТУ им. Н.Э. Баумана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) 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обозначил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Марсианскую 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экспедицию как организующую цель для национальной системы подготовки кадров. Он предложил трёхступенчатую модель «Школа – Университет – Работодатель» и представил опыт МГТУ по вовлечению студентов в реальные отраслевые проекты.</w:t>
      </w:r>
      <w:bookmarkStart w:id="18" w:name="fnref1_14"/>
      <w:bookmarkEnd w:id="18"/>
      <w:r w:rsidR="00796647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A5F2B" w14:textId="086D8913" w:rsidR="0078002A" w:rsidRPr="003A1250" w:rsidRDefault="00D40469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Юрий Крупнов (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Институт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демографии, миграции и регионального развития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)</w:t>
      </w:r>
      <w:r w:rsidR="0079664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027DC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предложил МГТУ и ведущим вузам создать сетевую международную образовательную программу для школьников и студентов «Капитаны Марса», а также организовать Детско-взрослую Лабораторию терраформирования и колонизации Марса.</w:t>
      </w:r>
      <w:bookmarkStart w:id="19" w:name="fnref1_15"/>
      <w:bookmarkEnd w:id="19"/>
      <w:r w:rsidR="00796647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1C76B" w14:textId="77777777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организационный_блок_и_итоги"/>
      <w:r w:rsidRPr="003A1250">
        <w:rPr>
          <w:rFonts w:ascii="Times New Roman" w:eastAsia="inter" w:hAnsi="Times New Roman" w:cs="Times New Roman"/>
          <w:b/>
          <w:color w:val="000000"/>
          <w:sz w:val="24"/>
          <w:szCs w:val="24"/>
        </w:rPr>
        <w:t>Организационный блок и итоги</w:t>
      </w:r>
      <w:bookmarkEnd w:id="20"/>
    </w:p>
    <w:p w14:paraId="7F0C22B1" w14:textId="1CEEBFDA" w:rsidR="0078002A" w:rsidRPr="003A1250" w:rsidRDefault="00027DC7" w:rsidP="00071C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Профессор Сергей Кричевский </w:t>
      </w:r>
      <w:r w:rsidR="0079664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(ответственный редактор)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представил электронный </w:t>
      </w:r>
      <w:r w:rsidR="00071CF1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с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борник материалов </w:t>
      </w:r>
      <w:r w:rsidR="0079664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Первого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Круглого стола</w:t>
      </w:r>
      <w:r w:rsidR="00071CF1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, опубликованный ИИЕТ РАН в декабре 2025 г.,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и поблагодарил авторов. Вице-президент МКК Александр Дорогов зачитал проект решения Второго Круглого стола.</w:t>
      </w:r>
      <w:bookmarkStart w:id="21" w:name="fnref1_16"/>
      <w:bookmarkEnd w:id="21"/>
      <w:r w:rsidR="00796647" w:rsidRPr="003A1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4EA04" w14:textId="5630D383" w:rsidR="0078002A" w:rsidRPr="00796647" w:rsidRDefault="00027DC7" w:rsidP="00071CF1">
      <w:pPr>
        <w:spacing w:after="0" w:line="360" w:lineRule="auto"/>
        <w:ind w:firstLine="720"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Заседание продолжалось около 3,5 часов и продемонстрировало формирование целостного видения Марсианского проекта как многокомпонентной программы. </w:t>
      </w:r>
      <w:r w:rsidR="00382151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В 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числе дальнейших шагов </w:t>
      </w:r>
      <w:r w:rsidR="00382151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участники наметили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подготовк</w:t>
      </w:r>
      <w:r w:rsidR="00796647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у</w:t>
      </w:r>
      <w:r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расширенного сборника, развитие сетевых проектных команд и проведение следующих заседаний по ключевым направлениям</w:t>
      </w:r>
      <w:bookmarkStart w:id="22" w:name="fnref1_17"/>
      <w:bookmarkEnd w:id="22"/>
      <w:r w:rsidR="00535239" w:rsidRPr="003A1250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r w:rsidR="00535239" w:rsidRPr="0053523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002A" w:rsidRPr="00796647">
      <w:footerReference w:type="even" r:id="rId7"/>
      <w:footerReference w:type="default" r:id="rId8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CD40" w14:textId="77777777" w:rsidR="00586449" w:rsidRDefault="00586449" w:rsidP="00535239">
      <w:pPr>
        <w:spacing w:after="0" w:line="240" w:lineRule="auto"/>
      </w:pPr>
      <w:r>
        <w:separator/>
      </w:r>
    </w:p>
  </w:endnote>
  <w:endnote w:type="continuationSeparator" w:id="0">
    <w:p w14:paraId="17BBBC25" w14:textId="77777777" w:rsidR="00586449" w:rsidRDefault="00586449" w:rsidP="0053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1556948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399BE41C" w14:textId="67675D42" w:rsidR="00535239" w:rsidRDefault="00535239" w:rsidP="00E852E1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 w:rsidR="00586449">
          <w:rPr>
            <w:rStyle w:val="a5"/>
          </w:rPr>
          <w:fldChar w:fldCharType="separate"/>
        </w:r>
        <w:r>
          <w:rPr>
            <w:rStyle w:val="a5"/>
          </w:rPr>
          <w:fldChar w:fldCharType="end"/>
        </w:r>
      </w:p>
    </w:sdtContent>
  </w:sdt>
  <w:p w14:paraId="6D999FFF" w14:textId="77777777" w:rsidR="00535239" w:rsidRDefault="00535239" w:rsidP="0053523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491248486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03A7E180" w14:textId="093665B4" w:rsidR="00535239" w:rsidRDefault="00535239" w:rsidP="00E852E1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02A4B45C" w14:textId="77777777" w:rsidR="00535239" w:rsidRDefault="00535239" w:rsidP="00535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ED36" w14:textId="77777777" w:rsidR="00586449" w:rsidRDefault="00586449" w:rsidP="00535239">
      <w:pPr>
        <w:spacing w:after="0" w:line="240" w:lineRule="auto"/>
      </w:pPr>
      <w:r>
        <w:separator/>
      </w:r>
    </w:p>
  </w:footnote>
  <w:footnote w:type="continuationSeparator" w:id="0">
    <w:p w14:paraId="467A15FC" w14:textId="77777777" w:rsidR="00586449" w:rsidRDefault="00586449" w:rsidP="0053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C35E2"/>
    <w:multiLevelType w:val="hybridMultilevel"/>
    <w:tmpl w:val="D262AC16"/>
    <w:lvl w:ilvl="0" w:tplc="7B12EC68">
      <w:numFmt w:val="decimal"/>
      <w:lvlText w:val=""/>
      <w:lvlJc w:val="left"/>
    </w:lvl>
    <w:lvl w:ilvl="1" w:tplc="D1706178">
      <w:numFmt w:val="decimal"/>
      <w:lvlText w:val=""/>
      <w:lvlJc w:val="left"/>
    </w:lvl>
    <w:lvl w:ilvl="2" w:tplc="92BE2356">
      <w:numFmt w:val="decimal"/>
      <w:lvlText w:val=""/>
      <w:lvlJc w:val="left"/>
    </w:lvl>
    <w:lvl w:ilvl="3" w:tplc="EBAA62A0">
      <w:numFmt w:val="decimal"/>
      <w:lvlText w:val=""/>
      <w:lvlJc w:val="left"/>
    </w:lvl>
    <w:lvl w:ilvl="4" w:tplc="F440D4C4">
      <w:numFmt w:val="decimal"/>
      <w:lvlText w:val=""/>
      <w:lvlJc w:val="left"/>
    </w:lvl>
    <w:lvl w:ilvl="5" w:tplc="0C323F48">
      <w:numFmt w:val="decimal"/>
      <w:lvlText w:val=""/>
      <w:lvlJc w:val="left"/>
    </w:lvl>
    <w:lvl w:ilvl="6" w:tplc="3532107C">
      <w:numFmt w:val="decimal"/>
      <w:lvlText w:val=""/>
      <w:lvlJc w:val="left"/>
    </w:lvl>
    <w:lvl w:ilvl="7" w:tplc="C26431B6">
      <w:numFmt w:val="decimal"/>
      <w:lvlText w:val=""/>
      <w:lvlJc w:val="left"/>
    </w:lvl>
    <w:lvl w:ilvl="8" w:tplc="6AFCA1DC">
      <w:numFmt w:val="decimal"/>
      <w:lvlText w:val=""/>
      <w:lvlJc w:val="left"/>
    </w:lvl>
  </w:abstractNum>
  <w:abstractNum w:abstractNumId="1" w15:restartNumberingAfterBreak="0">
    <w:nsid w:val="6A767D5A"/>
    <w:multiLevelType w:val="hybridMultilevel"/>
    <w:tmpl w:val="9536CA52"/>
    <w:lvl w:ilvl="0" w:tplc="29784CF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B42628E">
      <w:numFmt w:val="decimal"/>
      <w:lvlText w:val=""/>
      <w:lvlJc w:val="left"/>
    </w:lvl>
    <w:lvl w:ilvl="2" w:tplc="5A18CA2C">
      <w:numFmt w:val="decimal"/>
      <w:lvlText w:val=""/>
      <w:lvlJc w:val="left"/>
    </w:lvl>
    <w:lvl w:ilvl="3" w:tplc="8696888C">
      <w:numFmt w:val="decimal"/>
      <w:lvlText w:val=""/>
      <w:lvlJc w:val="left"/>
    </w:lvl>
    <w:lvl w:ilvl="4" w:tplc="FE84C908">
      <w:numFmt w:val="decimal"/>
      <w:lvlText w:val=""/>
      <w:lvlJc w:val="left"/>
    </w:lvl>
    <w:lvl w:ilvl="5" w:tplc="BD46C8FA">
      <w:numFmt w:val="decimal"/>
      <w:lvlText w:val=""/>
      <w:lvlJc w:val="left"/>
    </w:lvl>
    <w:lvl w:ilvl="6" w:tplc="C60EA8BA">
      <w:numFmt w:val="decimal"/>
      <w:lvlText w:val=""/>
      <w:lvlJc w:val="left"/>
    </w:lvl>
    <w:lvl w:ilvl="7" w:tplc="6EA4135E">
      <w:numFmt w:val="decimal"/>
      <w:lvlText w:val=""/>
      <w:lvlJc w:val="left"/>
    </w:lvl>
    <w:lvl w:ilvl="8" w:tplc="4790C8B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2A"/>
    <w:rsid w:val="00027DC7"/>
    <w:rsid w:val="00071CF1"/>
    <w:rsid w:val="002122E1"/>
    <w:rsid w:val="00262DC1"/>
    <w:rsid w:val="00364230"/>
    <w:rsid w:val="00382151"/>
    <w:rsid w:val="003A1250"/>
    <w:rsid w:val="00435472"/>
    <w:rsid w:val="0046485E"/>
    <w:rsid w:val="00535239"/>
    <w:rsid w:val="00586449"/>
    <w:rsid w:val="005A4764"/>
    <w:rsid w:val="0078002A"/>
    <w:rsid w:val="00796647"/>
    <w:rsid w:val="00A71A0E"/>
    <w:rsid w:val="00D12685"/>
    <w:rsid w:val="00D34D44"/>
    <w:rsid w:val="00D40469"/>
    <w:rsid w:val="00DE4836"/>
    <w:rsid w:val="00E75196"/>
    <w:rsid w:val="00E96A46"/>
    <w:rsid w:val="00F267C0"/>
    <w:rsid w:val="00F47B9B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AFA4"/>
  <w15:docId w15:val="{5153B219-6905-F049-AB83-5D97E9E5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3">
    <w:name w:val="footer"/>
    <w:basedOn w:val="a"/>
    <w:link w:val="a4"/>
    <w:uiPriority w:val="99"/>
    <w:unhideWhenUsed/>
    <w:rsid w:val="0053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5239"/>
  </w:style>
  <w:style w:type="character" w:styleId="a5">
    <w:name w:val="page number"/>
    <w:basedOn w:val="a0"/>
    <w:uiPriority w:val="99"/>
    <w:semiHidden/>
    <w:unhideWhenUsed/>
    <w:rsid w:val="00535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Иван Моисеев</cp:lastModifiedBy>
  <cp:revision>2</cp:revision>
  <dcterms:created xsi:type="dcterms:W3CDTF">2025-12-29T13:25:00Z</dcterms:created>
  <dcterms:modified xsi:type="dcterms:W3CDTF">2025-12-29T13:25:00Z</dcterms:modified>
</cp:coreProperties>
</file>